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6C6D" w14:textId="77777777" w:rsidR="00613E9C" w:rsidRPr="00613E9C" w:rsidRDefault="00613E9C" w:rsidP="00F02A66">
      <w:pPr>
        <w:keepNext/>
        <w:keepLines/>
        <w:spacing w:after="240" w:line="300" w:lineRule="auto"/>
        <w:ind w:left="387" w:right="286"/>
        <w:jc w:val="center"/>
        <w:outlineLvl w:val="1"/>
        <w:rPr>
          <w:rFonts w:eastAsia="Calibri"/>
          <w:b/>
        </w:rPr>
      </w:pPr>
      <w:r w:rsidRPr="00613E9C">
        <w:rPr>
          <w:rFonts w:eastAsia="Calibri"/>
          <w:b/>
        </w:rPr>
        <w:t xml:space="preserve">UMOWA nr ……………………… </w:t>
      </w:r>
    </w:p>
    <w:p w14:paraId="5CDB73AD" w14:textId="77777777" w:rsidR="00613E9C" w:rsidRPr="00613E9C" w:rsidRDefault="00613E9C" w:rsidP="00F02A66">
      <w:pPr>
        <w:spacing w:after="240" w:line="300" w:lineRule="auto"/>
        <w:ind w:left="142" w:firstLine="0"/>
        <w:jc w:val="left"/>
        <w:rPr>
          <w:rFonts w:eastAsia="Calibri"/>
        </w:rPr>
      </w:pPr>
    </w:p>
    <w:p w14:paraId="69F1AB22" w14:textId="77777777" w:rsidR="00613E9C" w:rsidRPr="00613E9C" w:rsidRDefault="00613E9C" w:rsidP="00F02A66">
      <w:pPr>
        <w:widowControl w:val="0"/>
        <w:tabs>
          <w:tab w:val="left" w:leader="dot" w:pos="5262"/>
        </w:tabs>
        <w:autoSpaceDE w:val="0"/>
        <w:autoSpaceDN w:val="0"/>
        <w:spacing w:after="240" w:line="300" w:lineRule="auto"/>
        <w:ind w:left="0" w:right="271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613E9C">
        <w:rPr>
          <w:rFonts w:eastAsia="Calibri"/>
          <w:color w:val="auto"/>
          <w:kern w:val="0"/>
          <w:lang w:eastAsia="en-US"/>
          <w14:ligatures w14:val="none"/>
        </w:rPr>
        <w:t>zwana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dalej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b/>
          <w:color w:val="auto"/>
          <w:kern w:val="0"/>
          <w:lang w:eastAsia="en-US"/>
          <w14:ligatures w14:val="none"/>
        </w:rPr>
        <w:t>„Umową”,</w:t>
      </w:r>
      <w:r w:rsidRPr="00613E9C">
        <w:rPr>
          <w:rFonts w:eastAsia="Calibri"/>
          <w:b/>
          <w:color w:val="auto"/>
          <w:spacing w:val="-2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zawarta</w:t>
      </w:r>
      <w:r w:rsidRPr="00613E9C">
        <w:rPr>
          <w:rFonts w:eastAsia="Calibri"/>
          <w:color w:val="auto"/>
          <w:spacing w:val="-2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w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Warszawie,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pomiędzy:</w:t>
      </w:r>
    </w:p>
    <w:p w14:paraId="773F17C8" w14:textId="77777777" w:rsidR="00613E9C" w:rsidRPr="00613E9C" w:rsidRDefault="00613E9C" w:rsidP="00F02A66">
      <w:pPr>
        <w:spacing w:after="240" w:line="300" w:lineRule="auto"/>
        <w:ind w:left="10" w:right="59"/>
        <w:rPr>
          <w:rFonts w:eastAsia="Calibri"/>
        </w:rPr>
      </w:pPr>
      <w:r w:rsidRPr="00613E9C">
        <w:rPr>
          <w:rFonts w:eastAsia="Calibri"/>
          <w:b/>
          <w:bCs/>
        </w:rPr>
        <w:t xml:space="preserve">Agencją Oceny Technologii Medycznych i Taryfikacji </w:t>
      </w:r>
      <w:r w:rsidRPr="00613E9C">
        <w:rPr>
          <w:rFonts w:eastAsia="Calibri"/>
        </w:rPr>
        <w:t>z siedzibą w Warszawie przy ul. Przeskok 2 (kod poczt. 00-032), działającą na podstawie ustawy z dnia 27 sierpnia 2004 roku o świadczeniach opieki zdrowotnej finansowanych ze środków publicznych (Dz. U. z 2024 r., poz. 146 ze zm.), posiadającą numery: NIP: 5252347183, REGON: 140278400, zwaną dalej „</w:t>
      </w:r>
      <w:r w:rsidRPr="00613E9C">
        <w:rPr>
          <w:rFonts w:eastAsia="Calibri"/>
          <w:b/>
          <w:bCs/>
        </w:rPr>
        <w:t>Zamawiającym”</w:t>
      </w:r>
      <w:r w:rsidRPr="00613E9C">
        <w:rPr>
          <w:rFonts w:eastAsia="Calibri"/>
        </w:rPr>
        <w:t xml:space="preserve"> lub </w:t>
      </w:r>
      <w:r w:rsidRPr="00613E9C">
        <w:rPr>
          <w:rFonts w:eastAsia="Calibri"/>
          <w:b/>
          <w:bCs/>
        </w:rPr>
        <w:t xml:space="preserve">„Agencją” </w:t>
      </w:r>
    </w:p>
    <w:p w14:paraId="4A804B17" w14:textId="77777777" w:rsidR="00613E9C" w:rsidRPr="00613E9C" w:rsidRDefault="00613E9C" w:rsidP="00F02A66">
      <w:pPr>
        <w:widowControl w:val="0"/>
        <w:autoSpaceDE w:val="0"/>
        <w:autoSpaceDN w:val="0"/>
        <w:spacing w:after="240" w:line="300" w:lineRule="auto"/>
        <w:ind w:left="0" w:right="271" w:firstLine="0"/>
        <w:rPr>
          <w:rFonts w:eastAsia="Calibri"/>
          <w:kern w:val="0"/>
          <w:lang w:eastAsia="en-US"/>
          <w14:ligatures w14:val="none"/>
        </w:rPr>
      </w:pPr>
      <w:r w:rsidRPr="00613E9C">
        <w:rPr>
          <w:rFonts w:eastAsia="Calibri"/>
          <w:kern w:val="0"/>
          <w:lang w:eastAsia="en-US"/>
          <w14:ligatures w14:val="none"/>
        </w:rPr>
        <w:t>reprezentowaną przez:</w:t>
      </w:r>
    </w:p>
    <w:p w14:paraId="36CD9FE0" w14:textId="77777777" w:rsidR="00613E9C" w:rsidRPr="00613E9C" w:rsidRDefault="00613E9C" w:rsidP="00F02A66">
      <w:pPr>
        <w:widowControl w:val="0"/>
        <w:autoSpaceDE w:val="0"/>
        <w:autoSpaceDN w:val="0"/>
        <w:spacing w:after="240" w:line="300" w:lineRule="auto"/>
        <w:ind w:left="0" w:right="271" w:firstLine="0"/>
        <w:rPr>
          <w:rFonts w:eastAsia="Calibri"/>
          <w:kern w:val="0"/>
          <w:lang w:eastAsia="en-US"/>
          <w14:ligatures w14:val="none"/>
        </w:rPr>
      </w:pPr>
      <w:r w:rsidRPr="00613E9C">
        <w:rPr>
          <w:rFonts w:eastAsia="Calibri"/>
          <w:b/>
          <w:bCs/>
          <w:color w:val="auto"/>
          <w:spacing w:val="-1"/>
          <w:kern w:val="0"/>
          <w:lang w:eastAsia="en-US"/>
          <w14:ligatures w14:val="none"/>
        </w:rPr>
        <w:t>(Osoba reprezentująca Zamawiającego)</w:t>
      </w:r>
    </w:p>
    <w:p w14:paraId="097B2B25" w14:textId="77777777" w:rsidR="00613E9C" w:rsidRPr="00613E9C" w:rsidRDefault="00613E9C" w:rsidP="00F02A66">
      <w:pPr>
        <w:widowControl w:val="0"/>
        <w:autoSpaceDE w:val="0"/>
        <w:autoSpaceDN w:val="0"/>
        <w:spacing w:after="240" w:line="300" w:lineRule="auto"/>
        <w:ind w:left="0" w:right="271" w:firstLine="0"/>
        <w:jc w:val="left"/>
        <w:rPr>
          <w:rFonts w:eastAsia="Calibri"/>
          <w:color w:val="auto"/>
          <w:kern w:val="0"/>
          <w:lang w:eastAsia="en-US"/>
          <w14:ligatures w14:val="none"/>
        </w:rPr>
      </w:pPr>
      <w:r w:rsidRPr="00613E9C">
        <w:rPr>
          <w:rFonts w:eastAsia="Calibri"/>
          <w:color w:val="auto"/>
          <w:kern w:val="0"/>
          <w:lang w:eastAsia="en-US"/>
          <w14:ligatures w14:val="none"/>
        </w:rPr>
        <w:t>a</w:t>
      </w:r>
    </w:p>
    <w:p w14:paraId="5532EAF4" w14:textId="77777777" w:rsidR="00613E9C" w:rsidRPr="00613E9C" w:rsidRDefault="00613E9C" w:rsidP="00F02A66">
      <w:pPr>
        <w:spacing w:after="240" w:line="300" w:lineRule="auto"/>
        <w:ind w:left="10" w:right="59"/>
        <w:rPr>
          <w:rFonts w:eastAsia="Calibri"/>
          <w:b/>
          <w:bCs/>
        </w:rPr>
      </w:pPr>
      <w:bookmarkStart w:id="0" w:name="_Hlk88740442"/>
      <w:r w:rsidRPr="00613E9C">
        <w:rPr>
          <w:rFonts w:eastAsia="Calibri"/>
          <w:b/>
          <w:bCs/>
        </w:rPr>
        <w:t xml:space="preserve">(nazwa i adres Wykonawcy) </w:t>
      </w:r>
    </w:p>
    <w:p w14:paraId="1D6C7B8B" w14:textId="77777777" w:rsidR="00613E9C" w:rsidRPr="00613E9C" w:rsidRDefault="00613E9C" w:rsidP="00F02A66">
      <w:pPr>
        <w:spacing w:after="240" w:line="300" w:lineRule="auto"/>
        <w:ind w:left="10" w:right="59"/>
        <w:rPr>
          <w:rFonts w:eastAsia="Calibri"/>
        </w:rPr>
      </w:pPr>
      <w:r w:rsidRPr="00613E9C">
        <w:rPr>
          <w:rFonts w:eastAsia="Calibri"/>
        </w:rPr>
        <w:t>reprezentowaną przez:</w:t>
      </w:r>
    </w:p>
    <w:bookmarkEnd w:id="0"/>
    <w:p w14:paraId="65CC425C" w14:textId="77777777" w:rsidR="00613E9C" w:rsidRPr="00613E9C" w:rsidRDefault="00613E9C" w:rsidP="00F02A66">
      <w:pPr>
        <w:widowControl w:val="0"/>
        <w:autoSpaceDE w:val="0"/>
        <w:autoSpaceDN w:val="0"/>
        <w:spacing w:after="240" w:line="300" w:lineRule="auto"/>
        <w:ind w:left="0" w:right="271" w:firstLine="0"/>
        <w:jc w:val="left"/>
        <w:rPr>
          <w:rFonts w:eastAsia="Calibri"/>
          <w:color w:val="auto"/>
          <w:kern w:val="0"/>
          <w:lang w:eastAsia="en-US"/>
          <w14:ligatures w14:val="none"/>
        </w:rPr>
      </w:pPr>
      <w:r w:rsidRPr="00613E9C">
        <w:rPr>
          <w:rFonts w:eastAsia="Calibri"/>
          <w:b/>
          <w:bCs/>
          <w:color w:val="auto"/>
          <w:spacing w:val="-1"/>
          <w:kern w:val="0"/>
          <w:lang w:eastAsia="en-US"/>
          <w14:ligatures w14:val="none"/>
        </w:rPr>
        <w:t>(Osoba reprezentująca Wykonawcę)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.</w:t>
      </w:r>
    </w:p>
    <w:p w14:paraId="681AAC78" w14:textId="77777777" w:rsidR="00613E9C" w:rsidRPr="00613E9C" w:rsidRDefault="00613E9C" w:rsidP="00F02A66">
      <w:pPr>
        <w:widowControl w:val="0"/>
        <w:autoSpaceDE w:val="0"/>
        <w:autoSpaceDN w:val="0"/>
        <w:spacing w:after="240" w:line="300" w:lineRule="auto"/>
        <w:ind w:left="0" w:right="271" w:firstLine="0"/>
        <w:jc w:val="left"/>
        <w:rPr>
          <w:rFonts w:eastAsia="Calibri"/>
          <w:color w:val="auto"/>
          <w:kern w:val="0"/>
          <w:lang w:eastAsia="en-US"/>
          <w14:ligatures w14:val="none"/>
        </w:rPr>
      </w:pPr>
      <w:r w:rsidRPr="00613E9C">
        <w:rPr>
          <w:rFonts w:eastAsia="Calibri"/>
          <w:color w:val="auto"/>
          <w:kern w:val="0"/>
          <w:lang w:eastAsia="en-US"/>
          <w14:ligatures w14:val="none"/>
        </w:rPr>
        <w:t>W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dalszej części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Umowy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Zamawiający</w:t>
      </w:r>
      <w:r w:rsidRPr="00613E9C">
        <w:rPr>
          <w:rFonts w:eastAsia="Calibri"/>
          <w:color w:val="auto"/>
          <w:spacing w:val="-3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i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Wykonawca</w:t>
      </w:r>
      <w:r w:rsidRPr="00613E9C">
        <w:rPr>
          <w:rFonts w:eastAsia="Calibri"/>
          <w:color w:val="auto"/>
          <w:spacing w:val="-2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będą</w:t>
      </w:r>
      <w:r w:rsidRPr="00613E9C">
        <w:rPr>
          <w:rFonts w:eastAsia="Calibri"/>
          <w:color w:val="auto"/>
          <w:spacing w:val="-1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nazywani</w:t>
      </w:r>
      <w:r w:rsidRPr="00613E9C">
        <w:rPr>
          <w:rFonts w:eastAsia="Calibri"/>
          <w:color w:val="auto"/>
          <w:spacing w:val="-4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łącznie</w:t>
      </w:r>
      <w:r w:rsidRPr="00613E9C">
        <w:rPr>
          <w:rFonts w:eastAsia="Calibri"/>
          <w:color w:val="auto"/>
          <w:spacing w:val="-3"/>
          <w:kern w:val="0"/>
          <w:lang w:eastAsia="en-US"/>
          <w14:ligatures w14:val="none"/>
        </w:rPr>
        <w:t xml:space="preserve"> 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„</w:t>
      </w:r>
      <w:r w:rsidRPr="00613E9C">
        <w:rPr>
          <w:rFonts w:eastAsia="Calibri"/>
          <w:b/>
          <w:color w:val="auto"/>
          <w:kern w:val="0"/>
          <w:lang w:eastAsia="en-US"/>
          <w14:ligatures w14:val="none"/>
        </w:rPr>
        <w:t>Stronami</w:t>
      </w:r>
      <w:r w:rsidRPr="00613E9C">
        <w:rPr>
          <w:rFonts w:eastAsia="Calibri"/>
          <w:color w:val="auto"/>
          <w:kern w:val="0"/>
          <w:lang w:eastAsia="en-US"/>
          <w14:ligatures w14:val="none"/>
        </w:rPr>
        <w:t>”.</w:t>
      </w:r>
    </w:p>
    <w:p w14:paraId="62576AC2" w14:textId="46DDFDCC" w:rsidR="00613E9C" w:rsidRPr="00613E9C" w:rsidRDefault="00613E9C" w:rsidP="00F02A66">
      <w:pPr>
        <w:tabs>
          <w:tab w:val="left" w:pos="9031"/>
        </w:tabs>
        <w:spacing w:after="240" w:line="300" w:lineRule="auto"/>
        <w:ind w:left="10" w:right="59"/>
        <w:rPr>
          <w:rFonts w:eastAsia="Calibri"/>
          <w:i/>
        </w:rPr>
      </w:pPr>
      <w:r w:rsidRPr="00613E9C">
        <w:rPr>
          <w:rFonts w:eastAsia="Calibri"/>
          <w:i/>
        </w:rPr>
        <w:t>Umowa</w:t>
      </w:r>
      <w:r w:rsidRPr="00613E9C">
        <w:rPr>
          <w:rFonts w:eastAsia="Calibri"/>
          <w:i/>
          <w:spacing w:val="25"/>
        </w:rPr>
        <w:t xml:space="preserve"> </w:t>
      </w:r>
      <w:r w:rsidRPr="00613E9C">
        <w:rPr>
          <w:rFonts w:eastAsia="Calibri"/>
          <w:i/>
        </w:rPr>
        <w:t>zostaje</w:t>
      </w:r>
      <w:r w:rsidRPr="00613E9C">
        <w:rPr>
          <w:rFonts w:eastAsia="Calibri"/>
          <w:i/>
          <w:spacing w:val="25"/>
        </w:rPr>
        <w:t xml:space="preserve"> </w:t>
      </w:r>
      <w:r w:rsidRPr="00613E9C">
        <w:rPr>
          <w:rFonts w:eastAsia="Calibri"/>
          <w:i/>
        </w:rPr>
        <w:t>zawarta</w:t>
      </w:r>
      <w:r w:rsidRPr="00613E9C">
        <w:rPr>
          <w:rFonts w:eastAsia="Calibri"/>
          <w:i/>
          <w:spacing w:val="71"/>
        </w:rPr>
        <w:t xml:space="preserve"> </w:t>
      </w:r>
      <w:r w:rsidRPr="00613E9C">
        <w:rPr>
          <w:rFonts w:eastAsia="Calibri"/>
          <w:i/>
        </w:rPr>
        <w:t>po</w:t>
      </w:r>
      <w:r w:rsidRPr="00613E9C">
        <w:rPr>
          <w:rFonts w:eastAsia="Calibri"/>
          <w:i/>
          <w:spacing w:val="73"/>
        </w:rPr>
        <w:t xml:space="preserve"> </w:t>
      </w:r>
      <w:r w:rsidRPr="00613E9C">
        <w:rPr>
          <w:rFonts w:eastAsia="Calibri"/>
          <w:i/>
        </w:rPr>
        <w:t>przeprowadzeniu</w:t>
      </w:r>
      <w:r w:rsidRPr="00613E9C">
        <w:rPr>
          <w:rFonts w:eastAsia="Calibri"/>
          <w:i/>
          <w:spacing w:val="73"/>
        </w:rPr>
        <w:t xml:space="preserve"> </w:t>
      </w:r>
      <w:r w:rsidRPr="00613E9C">
        <w:rPr>
          <w:rFonts w:eastAsia="Calibri"/>
          <w:i/>
        </w:rPr>
        <w:t>postępowania o</w:t>
      </w:r>
      <w:r w:rsidRPr="00613E9C">
        <w:rPr>
          <w:rFonts w:eastAsia="Calibri"/>
          <w:i/>
          <w:spacing w:val="73"/>
        </w:rPr>
        <w:t> </w:t>
      </w:r>
      <w:r w:rsidRPr="00613E9C">
        <w:rPr>
          <w:rFonts w:eastAsia="Calibri"/>
          <w:i/>
        </w:rPr>
        <w:t>udzielenie</w:t>
      </w:r>
      <w:r w:rsidRPr="00613E9C">
        <w:rPr>
          <w:rFonts w:eastAsia="Calibri"/>
          <w:i/>
          <w:spacing w:val="74"/>
        </w:rPr>
        <w:t xml:space="preserve"> </w:t>
      </w:r>
      <w:r w:rsidRPr="00613E9C">
        <w:rPr>
          <w:rFonts w:eastAsia="Calibri"/>
          <w:i/>
        </w:rPr>
        <w:t>zamówienia</w:t>
      </w:r>
      <w:r w:rsidRPr="00613E9C">
        <w:rPr>
          <w:rFonts w:eastAsia="Calibri"/>
          <w:i/>
          <w:spacing w:val="73"/>
        </w:rPr>
        <w:t xml:space="preserve"> </w:t>
      </w:r>
      <w:r w:rsidRPr="00613E9C">
        <w:rPr>
          <w:rFonts w:eastAsia="Calibri"/>
          <w:i/>
        </w:rPr>
        <w:t>publicznego w trybie zapytania ofertowego, na podstawie regulaminu udzielania zamówień w Agencji Oceny Technologii Medycznych i Taryfikacji, których wartość nie przekracza kwoty 130 000 zł oraz przepisów ustawy z dnia 23 kwietnia 1964 r. - Kodeks Cywilny (Dz. U. z 2023 r., poz. 1610 ze zm.), z wyłączeniem stosowania przepisów ustawy Prawo Zamówień Publicznych ustawy z dnia 11 września 2019 r. - Prawo</w:t>
      </w:r>
      <w:r w:rsidRPr="00613E9C">
        <w:rPr>
          <w:rFonts w:eastAsia="Calibri"/>
          <w:i/>
          <w:spacing w:val="1"/>
        </w:rPr>
        <w:t xml:space="preserve"> </w:t>
      </w:r>
      <w:r w:rsidRPr="00613E9C">
        <w:rPr>
          <w:rFonts w:eastAsia="Calibri"/>
          <w:i/>
        </w:rPr>
        <w:t>zamówień</w:t>
      </w:r>
      <w:r w:rsidRPr="00613E9C">
        <w:rPr>
          <w:rFonts w:eastAsia="Calibri"/>
          <w:i/>
          <w:spacing w:val="-1"/>
        </w:rPr>
        <w:t xml:space="preserve"> </w:t>
      </w:r>
      <w:r w:rsidRPr="00613E9C">
        <w:rPr>
          <w:rFonts w:eastAsia="Calibri"/>
          <w:i/>
        </w:rPr>
        <w:t>publicznych</w:t>
      </w:r>
      <w:r w:rsidRPr="00613E9C">
        <w:rPr>
          <w:rFonts w:eastAsia="Calibri"/>
          <w:i/>
          <w:spacing w:val="-1"/>
        </w:rPr>
        <w:t xml:space="preserve"> </w:t>
      </w:r>
      <w:r w:rsidRPr="00613E9C">
        <w:rPr>
          <w:rFonts w:eastAsia="Calibri"/>
          <w:i/>
        </w:rPr>
        <w:t>(Dz. U. z</w:t>
      </w:r>
      <w:r w:rsidRPr="00613E9C">
        <w:rPr>
          <w:rFonts w:eastAsia="Calibri"/>
          <w:i/>
          <w:spacing w:val="-3"/>
        </w:rPr>
        <w:t xml:space="preserve"> </w:t>
      </w:r>
      <w:r w:rsidRPr="00613E9C">
        <w:rPr>
          <w:rFonts w:eastAsia="Calibri"/>
          <w:i/>
        </w:rPr>
        <w:t>2024</w:t>
      </w:r>
      <w:r w:rsidRPr="00613E9C">
        <w:rPr>
          <w:rFonts w:eastAsia="Calibri"/>
          <w:i/>
          <w:spacing w:val="-1"/>
        </w:rPr>
        <w:t xml:space="preserve"> </w:t>
      </w:r>
      <w:r w:rsidRPr="00613E9C">
        <w:rPr>
          <w:rFonts w:eastAsia="Calibri"/>
          <w:i/>
        </w:rPr>
        <w:t>r.</w:t>
      </w:r>
      <w:r w:rsidRPr="00613E9C">
        <w:rPr>
          <w:rFonts w:eastAsia="Calibri"/>
          <w:i/>
          <w:spacing w:val="-1"/>
        </w:rPr>
        <w:t xml:space="preserve"> </w:t>
      </w:r>
      <w:r w:rsidRPr="00613E9C">
        <w:rPr>
          <w:rFonts w:eastAsia="Calibri"/>
          <w:i/>
        </w:rPr>
        <w:t>poz.</w:t>
      </w:r>
      <w:r w:rsidRPr="00613E9C">
        <w:rPr>
          <w:rFonts w:eastAsia="Calibri"/>
          <w:i/>
          <w:spacing w:val="-3"/>
        </w:rPr>
        <w:t xml:space="preserve"> 1320 ze zm.</w:t>
      </w:r>
      <w:r w:rsidRPr="00613E9C">
        <w:rPr>
          <w:rFonts w:eastAsia="Calibri"/>
          <w:i/>
        </w:rPr>
        <w:t>).</w:t>
      </w:r>
    </w:p>
    <w:p w14:paraId="23CDC461" w14:textId="22E33EB9" w:rsidR="00A32BC6" w:rsidRPr="00613E9C" w:rsidRDefault="00F02A66" w:rsidP="00691973">
      <w:pPr>
        <w:spacing w:after="0" w:line="300" w:lineRule="auto"/>
        <w:ind w:left="77" w:firstLine="0"/>
        <w:jc w:val="center"/>
      </w:pPr>
      <w:r w:rsidRPr="00613E9C">
        <w:rPr>
          <w:b/>
        </w:rPr>
        <w:t>§ 1.</w:t>
      </w:r>
    </w:p>
    <w:p w14:paraId="27F38FE3" w14:textId="77777777" w:rsidR="00A32BC6" w:rsidRPr="00613E9C" w:rsidRDefault="00F02A66" w:rsidP="00F02A66">
      <w:pPr>
        <w:spacing w:after="240" w:line="300" w:lineRule="auto"/>
        <w:ind w:left="367" w:right="286"/>
        <w:jc w:val="center"/>
      </w:pPr>
      <w:r w:rsidRPr="00613E9C">
        <w:rPr>
          <w:b/>
        </w:rPr>
        <w:t xml:space="preserve">Przedmiot Umowy </w:t>
      </w:r>
    </w:p>
    <w:p w14:paraId="45E3B85A" w14:textId="2F0C42BF" w:rsidR="00A32BC6" w:rsidRPr="0071055D" w:rsidRDefault="003640A5" w:rsidP="00F02A66">
      <w:pPr>
        <w:numPr>
          <w:ilvl w:val="0"/>
          <w:numId w:val="1"/>
        </w:numPr>
        <w:spacing w:after="240" w:line="300" w:lineRule="auto"/>
        <w:ind w:hanging="329"/>
      </w:pPr>
      <w:r w:rsidRPr="003640A5">
        <w:t xml:space="preserve">Przedmiotem Umowy jest przedłużenie (odnowienie) na okres 12 miesięcy licencji </w:t>
      </w:r>
      <w:r w:rsidRPr="0071055D">
        <w:t>posiadanego przez Zamawiającego oprogramowania Microsoft Project</w:t>
      </w:r>
      <w:r w:rsidR="00996450" w:rsidRPr="0071055D">
        <w:t>. W ramach realizacji zamówienia d</w:t>
      </w:r>
      <w:r w:rsidR="00F02A66" w:rsidRPr="0071055D">
        <w:t>ostawca zobowiązuje się dostarczyć Agencji wraz z uprawnieniem do korzystania (licencje), na zasadach i warunkach opisanych w Umowie oraz zgodnie z</w:t>
      </w:r>
      <w:r w:rsidR="003F7995" w:rsidRPr="0071055D">
        <w:t> </w:t>
      </w:r>
      <w:r w:rsidR="00F02A66" w:rsidRPr="0071055D">
        <w:t xml:space="preserve">formularzem ofertowym (Załącznik nr 1 do Umowy), aplikacje wspomagające zarządzanie projektami, zasobami, czasem i finansami projektu, tj.: </w:t>
      </w:r>
    </w:p>
    <w:p w14:paraId="4C243A13" w14:textId="6618438A" w:rsidR="00A32BC6" w:rsidRPr="0071055D" w:rsidRDefault="00F02A66" w:rsidP="00F02A66">
      <w:pPr>
        <w:numPr>
          <w:ilvl w:val="1"/>
          <w:numId w:val="1"/>
        </w:numPr>
        <w:spacing w:after="240" w:line="300" w:lineRule="auto"/>
        <w:ind w:right="1092" w:hanging="283"/>
      </w:pPr>
      <w:r w:rsidRPr="0071055D">
        <w:t>Microsoft Project (Plan 3</w:t>
      </w:r>
      <w:r w:rsidR="00D63428" w:rsidRPr="0071055D">
        <w:t>) -</w:t>
      </w:r>
      <w:r w:rsidRPr="0071055D">
        <w:t xml:space="preserve"> 15 (słownie: piętnaście) sztuk licencji, </w:t>
      </w:r>
    </w:p>
    <w:p w14:paraId="24D4BB87" w14:textId="006682B4" w:rsidR="00A32BC6" w:rsidRPr="0071055D" w:rsidRDefault="00F02A66" w:rsidP="00F02A66">
      <w:pPr>
        <w:numPr>
          <w:ilvl w:val="1"/>
          <w:numId w:val="1"/>
        </w:numPr>
        <w:spacing w:after="240" w:line="300" w:lineRule="auto"/>
        <w:ind w:right="1092" w:hanging="283"/>
      </w:pPr>
      <w:r w:rsidRPr="0071055D">
        <w:lastRenderedPageBreak/>
        <w:t>Microsoft Project (Plan 5</w:t>
      </w:r>
      <w:r w:rsidR="00D63428" w:rsidRPr="0071055D">
        <w:t>) -</w:t>
      </w:r>
      <w:r w:rsidRPr="0071055D">
        <w:t xml:space="preserve"> 5 (słownie: pięć) sztuk licencji (dalej zwane łącznie: “Aplikacjami”). </w:t>
      </w:r>
    </w:p>
    <w:p w14:paraId="102AEE9B" w14:textId="17580873" w:rsidR="00A32BC6" w:rsidRPr="0071055D" w:rsidRDefault="00F02A66" w:rsidP="00F02A66">
      <w:pPr>
        <w:numPr>
          <w:ilvl w:val="0"/>
          <w:numId w:val="1"/>
        </w:numPr>
        <w:spacing w:after="240" w:line="300" w:lineRule="auto"/>
        <w:ind w:hanging="329"/>
      </w:pPr>
      <w:r w:rsidRPr="0071055D">
        <w:t xml:space="preserve">Dostawca oświadcza, że jest uprawniony do dostawy Aplikacji wraz z licencjami udzielonymi przez ich producenta, na zasadach określonych w § 2 ust. 1. Subskrypcja Aplikacji będzie obowiązywała 12 miesięcy, licząc od dnia </w:t>
      </w:r>
      <w:r w:rsidR="00050F90" w:rsidRPr="0071055D">
        <w:t>zawarcia umowy</w:t>
      </w:r>
      <w:r w:rsidRPr="0071055D">
        <w:t xml:space="preserve">.  </w:t>
      </w:r>
    </w:p>
    <w:p w14:paraId="5A106B80" w14:textId="77777777" w:rsidR="00A32BC6" w:rsidRPr="0071055D" w:rsidRDefault="00F02A66" w:rsidP="00F02A66">
      <w:pPr>
        <w:numPr>
          <w:ilvl w:val="0"/>
          <w:numId w:val="1"/>
        </w:numPr>
        <w:spacing w:after="240" w:line="300" w:lineRule="auto"/>
        <w:ind w:hanging="329"/>
      </w:pPr>
      <w:r w:rsidRPr="0071055D">
        <w:t xml:space="preserve">Agencja nie ponosi odpowiedzialności za jakiekolwiek naruszenia przez Dostawcę warunków licencji producenta.  </w:t>
      </w:r>
    </w:p>
    <w:p w14:paraId="42F8FA5F" w14:textId="77777777" w:rsidR="00A32BC6" w:rsidRPr="0071055D" w:rsidRDefault="00F02A66" w:rsidP="00F02A66">
      <w:pPr>
        <w:numPr>
          <w:ilvl w:val="0"/>
          <w:numId w:val="1"/>
        </w:numPr>
        <w:spacing w:after="240" w:line="300" w:lineRule="auto"/>
        <w:ind w:hanging="329"/>
      </w:pPr>
      <w:r w:rsidRPr="0071055D">
        <w:t xml:space="preserve">Dostawca ponosi odpowiedzialność względem producenta w przypadku naruszenia postanowień licencji, o których mowa w ust. 5 lub niezapewnienia Agencji licencji producenta w zakresie niezbędnym do korzystania z Aplikacji.  </w:t>
      </w:r>
    </w:p>
    <w:p w14:paraId="64A9E56D" w14:textId="77777777" w:rsidR="00A32BC6" w:rsidRPr="0071055D" w:rsidRDefault="00F02A66" w:rsidP="000372E4">
      <w:pPr>
        <w:numPr>
          <w:ilvl w:val="0"/>
          <w:numId w:val="1"/>
        </w:numPr>
        <w:spacing w:after="0" w:line="300" w:lineRule="auto"/>
        <w:ind w:hanging="329"/>
      </w:pPr>
      <w:r w:rsidRPr="0071055D">
        <w:t xml:space="preserve">Dostawca oświadcza, że licencje, o których mowa w ust. 1 i 2, udzielone przez producenta </w:t>
      </w:r>
    </w:p>
    <w:p w14:paraId="64D37B69" w14:textId="559346FB" w:rsidR="00A32BC6" w:rsidRPr="00613E9C" w:rsidRDefault="00F02A66" w:rsidP="000372E4">
      <w:pPr>
        <w:spacing w:after="0" w:line="300" w:lineRule="auto"/>
        <w:ind w:left="370"/>
      </w:pPr>
      <w:r w:rsidRPr="0071055D">
        <w:t xml:space="preserve">Aplikacji, potwierdzające </w:t>
      </w:r>
      <w:r w:rsidR="00D63428" w:rsidRPr="0071055D">
        <w:t>między</w:t>
      </w:r>
      <w:r w:rsidRPr="00613E9C">
        <w:t xml:space="preserve"> innymi pola eksploatacji na jakich Agencja będzie mogła korzystać z Aplikacji, zostały opublikowane pod linkiem https://www.microsoft.com/pl</w:t>
      </w:r>
      <w:r>
        <w:t>-</w:t>
      </w:r>
      <w:r w:rsidRPr="00613E9C">
        <w:t xml:space="preserve">pl/microsoft-365/project/microsoft-project-licensing (dalej zwane łącznie: „Licencjami”). </w:t>
      </w:r>
    </w:p>
    <w:p w14:paraId="20324BCE" w14:textId="77777777" w:rsidR="00A32BC6" w:rsidRPr="00613E9C" w:rsidRDefault="00F02A66" w:rsidP="00F02A66">
      <w:pPr>
        <w:spacing w:after="240" w:line="300" w:lineRule="auto"/>
        <w:ind w:left="370"/>
      </w:pPr>
      <w:r w:rsidRPr="00613E9C">
        <w:t xml:space="preserve">Licencje udzielone są na okres 12 miesięcy, który pokrywa się z okresem obowiązywania subskrypcji.   </w:t>
      </w:r>
    </w:p>
    <w:p w14:paraId="4492DD73" w14:textId="389D297E" w:rsidR="00A32BC6" w:rsidRPr="00613E9C" w:rsidRDefault="00F02A66" w:rsidP="00A26068">
      <w:pPr>
        <w:spacing w:after="0" w:line="300" w:lineRule="auto"/>
        <w:ind w:left="367"/>
        <w:jc w:val="center"/>
      </w:pPr>
      <w:r w:rsidRPr="00613E9C">
        <w:rPr>
          <w:b/>
        </w:rPr>
        <w:t>§ 2.</w:t>
      </w:r>
    </w:p>
    <w:p w14:paraId="514666C8" w14:textId="77777777" w:rsidR="00A32BC6" w:rsidRPr="00613E9C" w:rsidRDefault="00F02A66" w:rsidP="00F02A66">
      <w:pPr>
        <w:spacing w:after="240" w:line="300" w:lineRule="auto"/>
        <w:ind w:left="367" w:right="4"/>
        <w:jc w:val="center"/>
      </w:pPr>
      <w:r w:rsidRPr="00613E9C">
        <w:rPr>
          <w:b/>
        </w:rPr>
        <w:t>Dostawa</w:t>
      </w:r>
      <w:r w:rsidRPr="00613E9C">
        <w:t xml:space="preserve"> </w:t>
      </w:r>
    </w:p>
    <w:p w14:paraId="14E1F6FA" w14:textId="11D0EDED" w:rsidR="00A32BC6" w:rsidRPr="00613E9C" w:rsidRDefault="00F02A66" w:rsidP="00F02A66">
      <w:pPr>
        <w:numPr>
          <w:ilvl w:val="0"/>
          <w:numId w:val="2"/>
        </w:numPr>
        <w:spacing w:after="240" w:line="300" w:lineRule="auto"/>
        <w:ind w:hanging="283"/>
      </w:pPr>
      <w:r w:rsidRPr="00613E9C">
        <w:t>Dostawca dostarczy Aplikacje poprzez uaktywnienie na rzecz Agencji ich subskrypcji i</w:t>
      </w:r>
      <w:r w:rsidR="00596448">
        <w:t> </w:t>
      </w:r>
      <w:r w:rsidRPr="00613E9C">
        <w:t xml:space="preserve">przypisanie wszystkich Licencji do konta Agencji w usłudze Microsoft 365, </w:t>
      </w:r>
      <w:r w:rsidR="0074256B">
        <w:t xml:space="preserve">z terminem obowiązywania od </w:t>
      </w:r>
      <w:r w:rsidR="0071055D">
        <w:t>dnia zawarcia umowy</w:t>
      </w:r>
      <w:r w:rsidRPr="00613E9C">
        <w:t xml:space="preserve">. </w:t>
      </w:r>
    </w:p>
    <w:p w14:paraId="3BCC9303" w14:textId="77777777" w:rsidR="00A32BC6" w:rsidRPr="00613E9C" w:rsidRDefault="00F02A66" w:rsidP="00F02A66">
      <w:pPr>
        <w:numPr>
          <w:ilvl w:val="0"/>
          <w:numId w:val="2"/>
        </w:numPr>
        <w:spacing w:after="240" w:line="300" w:lineRule="auto"/>
        <w:ind w:hanging="283"/>
      </w:pPr>
      <w:r w:rsidRPr="00613E9C">
        <w:t xml:space="preserve">Odbiór dostawy po stronie Agencji zostanie przeprowadzony przez sprawdzenie czy nastąpiło przypisanie wszystkich Licencji do Aplikacji na koncie Agencji w usłudze Microsoft 365 oraz przesłanie do Dostawcy drogą elektroniczną potwierdzenia odbioru. </w:t>
      </w:r>
    </w:p>
    <w:p w14:paraId="3230AACA" w14:textId="77777777" w:rsidR="00A32BC6" w:rsidRPr="00613E9C" w:rsidRDefault="00F02A66" w:rsidP="00F02A66">
      <w:pPr>
        <w:spacing w:after="240" w:line="300" w:lineRule="auto"/>
        <w:ind w:left="370"/>
      </w:pPr>
      <w:r w:rsidRPr="00613E9C">
        <w:t xml:space="preserve">Osobami upoważnionymi do odbioru dostawy ze strony Agencji są: Łukasz Bieńkowski, Paweł Kosowski oraz Andrzej Wróbel. Każda z wymienionych osób uprawniona jest do dokonania odbioru dostawy jednoosobowo.  </w:t>
      </w:r>
    </w:p>
    <w:p w14:paraId="1014D2EA" w14:textId="77777777" w:rsidR="00A32BC6" w:rsidRPr="00613E9C" w:rsidRDefault="00F02A66" w:rsidP="00F02A66">
      <w:pPr>
        <w:numPr>
          <w:ilvl w:val="0"/>
          <w:numId w:val="2"/>
        </w:numPr>
        <w:spacing w:after="240" w:line="300" w:lineRule="auto"/>
        <w:ind w:hanging="283"/>
      </w:pPr>
      <w:r w:rsidRPr="00613E9C">
        <w:t xml:space="preserve">Strony wskazują adresy poczty elektronicznej do wzajemnych kontaktów: </w:t>
      </w:r>
    </w:p>
    <w:p w14:paraId="09EC1215" w14:textId="77777777" w:rsidR="00A32BC6" w:rsidRPr="00613E9C" w:rsidRDefault="00F02A66" w:rsidP="00F02A66">
      <w:pPr>
        <w:numPr>
          <w:ilvl w:val="1"/>
          <w:numId w:val="2"/>
        </w:numPr>
        <w:spacing w:after="240" w:line="300" w:lineRule="auto"/>
        <w:ind w:hanging="306"/>
        <w:rPr>
          <w:lang w:val="en-US"/>
        </w:rPr>
      </w:pPr>
      <w:r w:rsidRPr="00613E9C">
        <w:rPr>
          <w:lang w:val="en-US"/>
        </w:rPr>
        <w:t xml:space="preserve">adres e-mail Agencji: </w:t>
      </w:r>
      <w:r w:rsidRPr="00613E9C">
        <w:rPr>
          <w:color w:val="0000FF"/>
          <w:u w:val="single" w:color="0000FF"/>
          <w:lang w:val="en-US"/>
        </w:rPr>
        <w:t>itteam@aotm.gov.pl</w:t>
      </w:r>
      <w:r w:rsidRPr="00613E9C">
        <w:rPr>
          <w:lang w:val="en-US"/>
        </w:rPr>
        <w:t xml:space="preserve">, </w:t>
      </w:r>
    </w:p>
    <w:p w14:paraId="407E7683" w14:textId="076FEDA7" w:rsidR="00A32BC6" w:rsidRPr="00613E9C" w:rsidRDefault="00F02A66" w:rsidP="00F02A66">
      <w:pPr>
        <w:numPr>
          <w:ilvl w:val="1"/>
          <w:numId w:val="2"/>
        </w:numPr>
        <w:spacing w:after="240" w:line="300" w:lineRule="auto"/>
        <w:ind w:hanging="306"/>
      </w:pPr>
      <w:r w:rsidRPr="00613E9C">
        <w:t xml:space="preserve">adres e-mail Dostawcy: </w:t>
      </w:r>
      <w:r w:rsidR="00596448" w:rsidRPr="00596448">
        <w:rPr>
          <w:rFonts w:eastAsia="Calibri"/>
        </w:rPr>
        <w:t>…</w:t>
      </w:r>
    </w:p>
    <w:p w14:paraId="4E9552FC" w14:textId="77777777" w:rsidR="00A32BC6" w:rsidRPr="00613E9C" w:rsidRDefault="00F02A66" w:rsidP="00F02A66">
      <w:pPr>
        <w:numPr>
          <w:ilvl w:val="0"/>
          <w:numId w:val="2"/>
        </w:numPr>
        <w:spacing w:after="240" w:line="300" w:lineRule="auto"/>
        <w:ind w:hanging="283"/>
      </w:pPr>
      <w:r w:rsidRPr="00613E9C">
        <w:t xml:space="preserve">W przypadku, gdy z powodu okoliczności niezależnych od Agencji okaże się, że: </w:t>
      </w:r>
    </w:p>
    <w:p w14:paraId="519D6DC1" w14:textId="77777777" w:rsidR="00A32BC6" w:rsidRPr="00613E9C" w:rsidRDefault="00F02A66" w:rsidP="00F02A66">
      <w:pPr>
        <w:numPr>
          <w:ilvl w:val="1"/>
          <w:numId w:val="3"/>
        </w:numPr>
        <w:spacing w:after="240" w:line="300" w:lineRule="auto"/>
        <w:ind w:hanging="343"/>
      </w:pPr>
      <w:r w:rsidRPr="00613E9C">
        <w:lastRenderedPageBreak/>
        <w:t xml:space="preserve">nie można użyć wszystkich lub określonych sztuk Aplikacji; </w:t>
      </w:r>
    </w:p>
    <w:p w14:paraId="1F8867A5" w14:textId="77777777" w:rsidR="00A32BC6" w:rsidRPr="00613E9C" w:rsidRDefault="00F02A66" w:rsidP="00F02A66">
      <w:pPr>
        <w:numPr>
          <w:ilvl w:val="1"/>
          <w:numId w:val="3"/>
        </w:numPr>
        <w:spacing w:after="240" w:line="300" w:lineRule="auto"/>
        <w:ind w:hanging="343"/>
      </w:pPr>
      <w:r w:rsidRPr="00613E9C">
        <w:t xml:space="preserve">Aplikacje nie zawierają funkcji opisanych przez producenta lub funkcje te nie działają Dostawca zobowiązany jest do natychmiastowego dostarczenia do Agencji Aplikacji wolnych od wad.  </w:t>
      </w:r>
    </w:p>
    <w:p w14:paraId="59F539C5" w14:textId="7C6C4059" w:rsidR="00A32BC6" w:rsidRPr="00613E9C" w:rsidRDefault="00F02A66" w:rsidP="00A26068">
      <w:pPr>
        <w:spacing w:after="0" w:line="300" w:lineRule="auto"/>
        <w:ind w:left="360" w:firstLine="0"/>
        <w:jc w:val="center"/>
      </w:pPr>
      <w:r w:rsidRPr="00613E9C">
        <w:rPr>
          <w:b/>
        </w:rPr>
        <w:t>§ 3.</w:t>
      </w:r>
    </w:p>
    <w:p w14:paraId="2FB60DE3" w14:textId="77777777" w:rsidR="00A32BC6" w:rsidRPr="00613E9C" w:rsidRDefault="00F02A66" w:rsidP="00F02A66">
      <w:pPr>
        <w:spacing w:after="240" w:line="300" w:lineRule="auto"/>
        <w:ind w:left="367" w:right="287"/>
        <w:jc w:val="center"/>
      </w:pPr>
      <w:r w:rsidRPr="00613E9C">
        <w:rPr>
          <w:b/>
        </w:rPr>
        <w:t>Cena i sposób rozliczenia</w:t>
      </w:r>
      <w:r w:rsidRPr="00613E9C">
        <w:t xml:space="preserve"> </w:t>
      </w:r>
    </w:p>
    <w:p w14:paraId="763F96B4" w14:textId="77777777" w:rsidR="00A32BC6" w:rsidRPr="00613E9C" w:rsidRDefault="00F02A66" w:rsidP="008306D8">
      <w:pPr>
        <w:numPr>
          <w:ilvl w:val="0"/>
          <w:numId w:val="4"/>
        </w:numPr>
        <w:spacing w:after="0" w:line="300" w:lineRule="auto"/>
        <w:ind w:hanging="283"/>
      </w:pPr>
      <w:r w:rsidRPr="00613E9C">
        <w:t xml:space="preserve">Z tytułu dostawy Aplikacji wraz z Licencjami w liczbie określonej w § 1 ust. 1 Umowy </w:t>
      </w:r>
    </w:p>
    <w:p w14:paraId="00855E0C" w14:textId="77777777" w:rsidR="00A32BC6" w:rsidRPr="00A8087D" w:rsidRDefault="00F02A66" w:rsidP="00EB030F">
      <w:pPr>
        <w:spacing w:after="0" w:line="300" w:lineRule="auto"/>
        <w:ind w:left="370"/>
      </w:pPr>
      <w:r w:rsidRPr="00613E9C">
        <w:t xml:space="preserve">Agencja zapłaci Dostawcy </w:t>
      </w:r>
      <w:r w:rsidRPr="00A8087D">
        <w:t xml:space="preserve">łączną cenę sprzedaży (dalej zwana: „Ceną”) w wysokości </w:t>
      </w:r>
    </w:p>
    <w:p w14:paraId="1775A025" w14:textId="26A1779D" w:rsidR="00A32BC6" w:rsidRPr="00A8087D" w:rsidRDefault="008306D8" w:rsidP="00F02A66">
      <w:pPr>
        <w:spacing w:after="240" w:line="300" w:lineRule="auto"/>
        <w:ind w:left="370"/>
        <w:jc w:val="left"/>
      </w:pPr>
      <w:r w:rsidRPr="00A8087D">
        <w:rPr>
          <w:b/>
        </w:rPr>
        <w:t>….</w:t>
      </w:r>
      <w:r w:rsidR="00F02A66" w:rsidRPr="00A8087D">
        <w:rPr>
          <w:b/>
        </w:rPr>
        <w:t xml:space="preserve">  zł (słownie </w:t>
      </w:r>
      <w:r w:rsidR="00EB030F" w:rsidRPr="00A8087D">
        <w:rPr>
          <w:b/>
        </w:rPr>
        <w:t>złotych: …</w:t>
      </w:r>
      <w:r w:rsidR="00F02A66" w:rsidRPr="00A8087D">
        <w:rPr>
          <w:b/>
        </w:rPr>
        <w:t>) brutto</w:t>
      </w:r>
      <w:r w:rsidR="00F02A66" w:rsidRPr="00A8087D">
        <w:t>, obejmując</w:t>
      </w:r>
      <w:r w:rsidR="001F749D" w:rsidRPr="00A8087D">
        <w:t>ą</w:t>
      </w:r>
      <w:r w:rsidR="00F02A66" w:rsidRPr="00A8087D">
        <w:t xml:space="preserve">: </w:t>
      </w:r>
    </w:p>
    <w:p w14:paraId="168D5E3F" w14:textId="2E6C5FF7" w:rsidR="00A32BC6" w:rsidRPr="00A8087D" w:rsidRDefault="00F02A66" w:rsidP="00EB030F">
      <w:pPr>
        <w:numPr>
          <w:ilvl w:val="1"/>
          <w:numId w:val="4"/>
        </w:numPr>
        <w:spacing w:after="0" w:line="300" w:lineRule="auto"/>
        <w:ind w:hanging="425"/>
        <w:jc w:val="left"/>
      </w:pPr>
      <w:r w:rsidRPr="00A8087D">
        <w:t xml:space="preserve">kwotę </w:t>
      </w:r>
      <w:r w:rsidR="008306D8" w:rsidRPr="00A8087D">
        <w:rPr>
          <w:b/>
        </w:rPr>
        <w:t>…</w:t>
      </w:r>
      <w:r w:rsidRPr="00A8087D">
        <w:rPr>
          <w:b/>
        </w:rPr>
        <w:t xml:space="preserve"> zł (słownie: </w:t>
      </w:r>
      <w:r w:rsidR="008306D8" w:rsidRPr="00A8087D">
        <w:rPr>
          <w:b/>
        </w:rPr>
        <w:t>…</w:t>
      </w:r>
      <w:r w:rsidRPr="00A8087D">
        <w:rPr>
          <w:b/>
        </w:rPr>
        <w:t xml:space="preserve"> brutto</w:t>
      </w:r>
      <w:r w:rsidRPr="00A8087D">
        <w:t xml:space="preserve"> z tytułu dostawy 15 sztuk Microsoft Project (Plan 3),   </w:t>
      </w:r>
    </w:p>
    <w:p w14:paraId="48655BB5" w14:textId="1385FB90" w:rsidR="00A32BC6" w:rsidRPr="00A8087D" w:rsidRDefault="00F02A66" w:rsidP="00F02A66">
      <w:pPr>
        <w:numPr>
          <w:ilvl w:val="1"/>
          <w:numId w:val="4"/>
        </w:numPr>
        <w:spacing w:after="240" w:line="300" w:lineRule="auto"/>
        <w:ind w:hanging="425"/>
        <w:jc w:val="left"/>
      </w:pPr>
      <w:r w:rsidRPr="00A8087D">
        <w:t xml:space="preserve">kwotę </w:t>
      </w:r>
      <w:r w:rsidR="008306D8" w:rsidRPr="00A8087D">
        <w:rPr>
          <w:b/>
        </w:rPr>
        <w:t>…</w:t>
      </w:r>
      <w:r w:rsidRPr="00A8087D">
        <w:rPr>
          <w:b/>
        </w:rPr>
        <w:t xml:space="preserve"> zł (słownie: </w:t>
      </w:r>
      <w:r w:rsidR="008306D8" w:rsidRPr="00A8087D">
        <w:rPr>
          <w:b/>
        </w:rPr>
        <w:t>…</w:t>
      </w:r>
      <w:r w:rsidRPr="00A8087D">
        <w:rPr>
          <w:b/>
        </w:rPr>
        <w:t xml:space="preserve"> brutto</w:t>
      </w:r>
      <w:r w:rsidRPr="00A8087D">
        <w:t xml:space="preserve"> z tytułu dostawy 5 sztuk Microsoft Project (Plan 5). </w:t>
      </w:r>
    </w:p>
    <w:p w14:paraId="737C1584" w14:textId="1DE83DD7" w:rsidR="00A32BC6" w:rsidRPr="00A8087D" w:rsidRDefault="00F02A66" w:rsidP="00F02A66">
      <w:pPr>
        <w:numPr>
          <w:ilvl w:val="0"/>
          <w:numId w:val="4"/>
        </w:numPr>
        <w:spacing w:after="240" w:line="300" w:lineRule="auto"/>
        <w:ind w:hanging="283"/>
      </w:pPr>
      <w:r w:rsidRPr="00A8087D">
        <w:t xml:space="preserve">Dla uniknięcia wątpliwości Strony potwierdzają, że Cena obejmuje opłatę za dwunastomiesięczną subskrypcję dostarczonych Aplikacji w liczbie 15 sztuk licencji Microsoft Project (Plan 3) </w:t>
      </w:r>
      <w:r w:rsidR="00D63428" w:rsidRPr="00A8087D">
        <w:t>oraz 5</w:t>
      </w:r>
      <w:r w:rsidRPr="00A8087D">
        <w:t xml:space="preserve"> sztuk licencji Microsoft Project (Plan 5). </w:t>
      </w:r>
    </w:p>
    <w:p w14:paraId="7A525A8B" w14:textId="77777777" w:rsidR="00A32BC6" w:rsidRPr="00A8087D" w:rsidRDefault="00F02A66" w:rsidP="00F02A66">
      <w:pPr>
        <w:numPr>
          <w:ilvl w:val="0"/>
          <w:numId w:val="4"/>
        </w:numPr>
        <w:spacing w:after="240" w:line="300" w:lineRule="auto"/>
        <w:ind w:hanging="283"/>
      </w:pPr>
      <w:r w:rsidRPr="00A8087D">
        <w:t xml:space="preserve">Cena zostanie uregulowana na podstawie prawidłowo wystawionej przez Dostawcę faktury, w terminie 21 dni od dnia doręczenia faktury, przelewem na rachunek bankowy Dostawcy, wskazany na fakturze. </w:t>
      </w:r>
    </w:p>
    <w:p w14:paraId="44686E6C" w14:textId="77777777" w:rsidR="00A32BC6" w:rsidRPr="00A8087D" w:rsidRDefault="00F02A66" w:rsidP="00F02A66">
      <w:pPr>
        <w:numPr>
          <w:ilvl w:val="0"/>
          <w:numId w:val="4"/>
        </w:numPr>
        <w:spacing w:after="240" w:line="300" w:lineRule="auto"/>
        <w:ind w:hanging="283"/>
      </w:pPr>
      <w:r w:rsidRPr="00A8087D">
        <w:t xml:space="preserve">Podstawą uprawniającą do wystawienia faktury będzie dokonanie przez Agencję odbioru wolnej od wad dostawy. </w:t>
      </w:r>
    </w:p>
    <w:p w14:paraId="7560FCAC" w14:textId="77FAC642" w:rsidR="00A32BC6" w:rsidRPr="00613E9C" w:rsidRDefault="00F02A66" w:rsidP="00F02A66">
      <w:pPr>
        <w:numPr>
          <w:ilvl w:val="0"/>
          <w:numId w:val="4"/>
        </w:numPr>
        <w:spacing w:after="240" w:line="300" w:lineRule="auto"/>
        <w:ind w:hanging="283"/>
      </w:pPr>
      <w:r w:rsidRPr="00613E9C">
        <w:t xml:space="preserve">Strony ustalają, że datą zapłaty </w:t>
      </w:r>
      <w:r w:rsidR="00D63428" w:rsidRPr="00613E9C">
        <w:t>jest dzień</w:t>
      </w:r>
      <w:r w:rsidRPr="00613E9C">
        <w:t xml:space="preserve"> </w:t>
      </w:r>
      <w:r w:rsidR="00D63428" w:rsidRPr="00613E9C">
        <w:t>obciążenia kwotą</w:t>
      </w:r>
      <w:r w:rsidRPr="00613E9C">
        <w:t xml:space="preserve"> Ceny rachunku bankowego Agencji.  </w:t>
      </w:r>
    </w:p>
    <w:p w14:paraId="3352F039" w14:textId="77777777" w:rsidR="00691973" w:rsidRDefault="00F02A66" w:rsidP="00691973">
      <w:pPr>
        <w:numPr>
          <w:ilvl w:val="0"/>
          <w:numId w:val="4"/>
        </w:numPr>
        <w:spacing w:after="240" w:line="300" w:lineRule="auto"/>
        <w:ind w:hanging="283"/>
      </w:pPr>
      <w:r w:rsidRPr="00613E9C">
        <w:t xml:space="preserve">Dostawca oświadcza, że rachunek bankowy, o którym mowa w ust. 2, jest zgłoszony na tzw. białą listę podatników VAT, prowadzoną przez Szefa Krajowej Informacji Skarbowej. </w:t>
      </w:r>
    </w:p>
    <w:p w14:paraId="3150E5D4" w14:textId="2635D244" w:rsidR="00691973" w:rsidRPr="00691973" w:rsidRDefault="00691973" w:rsidP="00691973">
      <w:pPr>
        <w:numPr>
          <w:ilvl w:val="0"/>
          <w:numId w:val="4"/>
        </w:numPr>
        <w:spacing w:after="240" w:line="300" w:lineRule="auto"/>
        <w:ind w:hanging="283"/>
      </w:pPr>
      <w:r w:rsidRPr="00691973">
        <w:t>Faktura może być przekazana w postaci papierowej lub elektronicznej za pośrednictwem platformy elektronicznego fakturowania, jeżeli Wykonawca wysłał ustrukturyzowaną fakturę za pośrednictwem tej platformy zgodnie z ustawą z dnia 9 listopada 2018 r. o</w:t>
      </w:r>
      <w:r>
        <w:t> </w:t>
      </w:r>
      <w:r w:rsidRPr="00691973">
        <w:t>elektronicznym fakturowaniu w zamówieniach publicznych, koncesjach na roboty budowlane lub usługi oraz partnerstwie publiczno-prywatnym (Dz. U. z 2018 r., poz. 2191 ze zm.) Platforma o której mowa w zdaniu poprzedzającym dostępna jest pod linkiem: - https://brokerpefexpert.efaktura.gov.pl/.</w:t>
      </w:r>
    </w:p>
    <w:p w14:paraId="6F345C7E" w14:textId="2D24E7A7" w:rsidR="00A32BC6" w:rsidRPr="00613E9C" w:rsidRDefault="00F02A66" w:rsidP="00A26068">
      <w:pPr>
        <w:spacing w:after="0" w:line="300" w:lineRule="auto"/>
        <w:ind w:left="134" w:firstLine="0"/>
        <w:jc w:val="center"/>
      </w:pPr>
      <w:r w:rsidRPr="00613E9C">
        <w:rPr>
          <w:b/>
        </w:rPr>
        <w:t xml:space="preserve"> § </w:t>
      </w:r>
      <w:r w:rsidR="00301D0A">
        <w:rPr>
          <w:b/>
        </w:rPr>
        <w:t>4</w:t>
      </w:r>
      <w:r w:rsidRPr="00613E9C">
        <w:rPr>
          <w:b/>
        </w:rPr>
        <w:t>.</w:t>
      </w:r>
      <w:r w:rsidRPr="00613E9C">
        <w:t xml:space="preserve"> </w:t>
      </w:r>
    </w:p>
    <w:p w14:paraId="46CD4702" w14:textId="77777777" w:rsidR="00A32BC6" w:rsidRPr="00613E9C" w:rsidRDefault="00F02A66" w:rsidP="00F02A66">
      <w:pPr>
        <w:spacing w:after="240" w:line="300" w:lineRule="auto"/>
        <w:ind w:left="367" w:right="282"/>
        <w:jc w:val="center"/>
      </w:pPr>
      <w:r w:rsidRPr="00613E9C">
        <w:rPr>
          <w:b/>
        </w:rPr>
        <w:t>Kary umowne</w:t>
      </w:r>
      <w:r w:rsidRPr="00613E9C">
        <w:t xml:space="preserve"> </w:t>
      </w:r>
    </w:p>
    <w:p w14:paraId="4C29EDAB" w14:textId="4671DCA6" w:rsidR="00A32BC6" w:rsidRPr="00613E9C" w:rsidRDefault="00F02A66" w:rsidP="00F02A66">
      <w:pPr>
        <w:numPr>
          <w:ilvl w:val="0"/>
          <w:numId w:val="5"/>
        </w:numPr>
        <w:spacing w:after="240" w:line="300" w:lineRule="auto"/>
        <w:ind w:hanging="283"/>
      </w:pPr>
      <w:r w:rsidRPr="00613E9C">
        <w:lastRenderedPageBreak/>
        <w:t xml:space="preserve">Agencja ma prawo do naliczenia Dostawcy kary umownej w wysokości 0,2% </w:t>
      </w:r>
      <w:r w:rsidR="00D63428" w:rsidRPr="00613E9C">
        <w:t>Ceny, za</w:t>
      </w:r>
      <w:r w:rsidRPr="00613E9C">
        <w:t xml:space="preserve"> każdy dzień opóźnienia w dostarczeniu wolnych od wad Aplikacji wraz z Licencjami w terminie, o którym mowa w §2 ust. 1 Umowy. </w:t>
      </w:r>
    </w:p>
    <w:p w14:paraId="7F8FA012" w14:textId="77777777" w:rsidR="00A32BC6" w:rsidRPr="00613E9C" w:rsidRDefault="00F02A66" w:rsidP="00F02A66">
      <w:pPr>
        <w:numPr>
          <w:ilvl w:val="0"/>
          <w:numId w:val="5"/>
        </w:numPr>
        <w:spacing w:after="240" w:line="300" w:lineRule="auto"/>
        <w:ind w:hanging="283"/>
      </w:pPr>
      <w:r w:rsidRPr="00613E9C">
        <w:t xml:space="preserve">Agencja jest uprawniona do potrącenia kary umownej, określonej w ust. 1, z przysługującej Dostawcy Ceny, w drodze pisemnego oświadczenia o potrąceniu.  </w:t>
      </w:r>
    </w:p>
    <w:p w14:paraId="43FCC268" w14:textId="77777777" w:rsidR="00A32BC6" w:rsidRPr="00613E9C" w:rsidRDefault="00F02A66" w:rsidP="00F02A66">
      <w:pPr>
        <w:numPr>
          <w:ilvl w:val="0"/>
          <w:numId w:val="5"/>
        </w:numPr>
        <w:spacing w:after="240" w:line="300" w:lineRule="auto"/>
        <w:ind w:hanging="283"/>
      </w:pPr>
      <w:r w:rsidRPr="00613E9C">
        <w:t xml:space="preserve">Postanowienia ust. 1 i 2 nie wyłączają prawa Agencji do dochodzenia od Dostawcy odszkodowania uzupełniającego na zasadach ogólnych, jeżeli wartość powstałej szkody przekroczy wysokość kar umownych.  </w:t>
      </w:r>
    </w:p>
    <w:p w14:paraId="68BAFDC2" w14:textId="1E8AA437" w:rsidR="00A32BC6" w:rsidRPr="00613E9C" w:rsidRDefault="00F02A66" w:rsidP="00A26068">
      <w:pPr>
        <w:spacing w:after="0" w:line="300" w:lineRule="auto"/>
        <w:ind w:left="77" w:firstLine="0"/>
        <w:jc w:val="center"/>
      </w:pPr>
      <w:r w:rsidRPr="00613E9C">
        <w:rPr>
          <w:b/>
        </w:rPr>
        <w:t xml:space="preserve">§ </w:t>
      </w:r>
      <w:r w:rsidR="00301D0A">
        <w:rPr>
          <w:b/>
        </w:rPr>
        <w:t>5</w:t>
      </w:r>
      <w:r w:rsidRPr="00613E9C">
        <w:rPr>
          <w:b/>
        </w:rPr>
        <w:t>.</w:t>
      </w:r>
    </w:p>
    <w:p w14:paraId="68A5E6FF" w14:textId="77777777" w:rsidR="00A32BC6" w:rsidRPr="00613E9C" w:rsidRDefault="00F02A66" w:rsidP="00F02A66">
      <w:pPr>
        <w:spacing w:after="240" w:line="300" w:lineRule="auto"/>
        <w:ind w:left="3380"/>
        <w:jc w:val="left"/>
      </w:pPr>
      <w:r w:rsidRPr="00613E9C">
        <w:rPr>
          <w:b/>
        </w:rPr>
        <w:t>Pozostałe postanowienia</w:t>
      </w:r>
      <w:r w:rsidRPr="00613E9C">
        <w:t xml:space="preserve"> </w:t>
      </w:r>
    </w:p>
    <w:p w14:paraId="3F9BB794" w14:textId="4F2D676A" w:rsidR="00A32BC6" w:rsidRPr="00613E9C" w:rsidRDefault="00F02A66" w:rsidP="00F02A66">
      <w:pPr>
        <w:numPr>
          <w:ilvl w:val="0"/>
          <w:numId w:val="6"/>
        </w:numPr>
        <w:spacing w:after="240" w:line="300" w:lineRule="auto"/>
        <w:ind w:hanging="360"/>
      </w:pPr>
      <w:r w:rsidRPr="00613E9C">
        <w:t>W sprawach nieuregulowanych Umową mają zastosowanie w szczególności przepisy ustawy z dnia 23 kwietnia 1964 r. Kodeks cywilny (Dz.U. z 202</w:t>
      </w:r>
      <w:r w:rsidR="007F0588">
        <w:t>4</w:t>
      </w:r>
      <w:r w:rsidRPr="00613E9C">
        <w:t xml:space="preserve"> r., poz. 1</w:t>
      </w:r>
      <w:r w:rsidR="007F0588">
        <w:t>061</w:t>
      </w:r>
      <w:r w:rsidRPr="00613E9C">
        <w:t xml:space="preserve"> z</w:t>
      </w:r>
      <w:r w:rsidR="007F0588">
        <w:t xml:space="preserve">e </w:t>
      </w:r>
      <w:r w:rsidRPr="00613E9C">
        <w:t xml:space="preserve">zm.).  </w:t>
      </w:r>
    </w:p>
    <w:p w14:paraId="53DE74AB" w14:textId="77777777" w:rsidR="00A32BC6" w:rsidRPr="00613E9C" w:rsidRDefault="00F02A66" w:rsidP="00F02A66">
      <w:pPr>
        <w:numPr>
          <w:ilvl w:val="0"/>
          <w:numId w:val="6"/>
        </w:numPr>
        <w:spacing w:after="240" w:line="300" w:lineRule="auto"/>
        <w:ind w:hanging="360"/>
      </w:pPr>
      <w:r w:rsidRPr="00613E9C">
        <w:t xml:space="preserve">Zmiana Umowy wymaga formy pisemnej pod rygorem nieważności.  </w:t>
      </w:r>
    </w:p>
    <w:p w14:paraId="182E9E0A" w14:textId="77777777" w:rsidR="00A32BC6" w:rsidRPr="00613E9C" w:rsidRDefault="00F02A66" w:rsidP="00F02A66">
      <w:pPr>
        <w:numPr>
          <w:ilvl w:val="0"/>
          <w:numId w:val="6"/>
        </w:numPr>
        <w:spacing w:after="240" w:line="300" w:lineRule="auto"/>
        <w:ind w:hanging="360"/>
      </w:pPr>
      <w:r w:rsidRPr="00613E9C">
        <w:t xml:space="preserve">Spory na tle realizacji Umowy rozstrzygać będzie sąd powszechny właściwy ze względu na siedzibę Agencji.  </w:t>
      </w:r>
    </w:p>
    <w:p w14:paraId="4F7197E9" w14:textId="77777777" w:rsidR="00A32BC6" w:rsidRPr="00613E9C" w:rsidRDefault="00F02A66" w:rsidP="00F02A66">
      <w:pPr>
        <w:numPr>
          <w:ilvl w:val="0"/>
          <w:numId w:val="6"/>
        </w:numPr>
        <w:spacing w:after="240" w:line="300" w:lineRule="auto"/>
        <w:ind w:hanging="360"/>
      </w:pPr>
      <w:r w:rsidRPr="00613E9C">
        <w:t xml:space="preserve">Umowa zawarta jest, w przypadku jej podpisania przez obie Strony kwalifikowanym podpisem elektronicznym, w dniu złożenia kwalifikowanego podpisu elektronicznego przez ostatnią ze Stron.  </w:t>
      </w:r>
    </w:p>
    <w:p w14:paraId="53DD9AE9" w14:textId="77777777" w:rsidR="00A32BC6" w:rsidRPr="00613E9C" w:rsidRDefault="00F02A66" w:rsidP="00F02A66">
      <w:pPr>
        <w:numPr>
          <w:ilvl w:val="0"/>
          <w:numId w:val="7"/>
        </w:numPr>
        <w:spacing w:after="240" w:line="300" w:lineRule="auto"/>
        <w:ind w:hanging="360"/>
      </w:pPr>
      <w:r w:rsidRPr="00613E9C">
        <w:t xml:space="preserve">Umowa zawarta jest, w przypadku jej podpisania przez jedną ze Stron kwalifikowanym podpisem elektronicznym, a drugą ze Stron w podpisem własnoręcznym, w dniu złożenia podpisu przez ostatnią ze Stron.  </w:t>
      </w:r>
    </w:p>
    <w:p w14:paraId="705215E6" w14:textId="427EEEEF" w:rsidR="00A32BC6" w:rsidRPr="00613E9C" w:rsidRDefault="00A32BC6" w:rsidP="00F02A66">
      <w:pPr>
        <w:spacing w:after="240" w:line="300" w:lineRule="auto"/>
        <w:ind w:left="360" w:firstLine="0"/>
        <w:jc w:val="left"/>
      </w:pPr>
    </w:p>
    <w:p w14:paraId="181F1CA8" w14:textId="77777777" w:rsidR="00A32BC6" w:rsidRPr="00613E9C" w:rsidRDefault="00F02A66" w:rsidP="00F02A66">
      <w:pPr>
        <w:spacing w:after="240" w:line="300" w:lineRule="auto"/>
        <w:jc w:val="left"/>
      </w:pPr>
      <w:r w:rsidRPr="00613E9C">
        <w:rPr>
          <w:b/>
        </w:rPr>
        <w:t xml:space="preserve">Załączniki:  </w:t>
      </w:r>
    </w:p>
    <w:p w14:paraId="15CE19A5" w14:textId="21BB13E9" w:rsidR="00301D0A" w:rsidRPr="00613E9C" w:rsidRDefault="00F02A66" w:rsidP="00301D0A">
      <w:pPr>
        <w:numPr>
          <w:ilvl w:val="0"/>
          <w:numId w:val="8"/>
        </w:numPr>
        <w:spacing w:after="240" w:line="300" w:lineRule="auto"/>
        <w:ind w:hanging="283"/>
      </w:pPr>
      <w:r w:rsidRPr="00613E9C">
        <w:t>załącznik nr 1 – formularz ofertowy</w:t>
      </w:r>
    </w:p>
    <w:p w14:paraId="64949961" w14:textId="77777777" w:rsidR="00A32BC6" w:rsidRPr="00613E9C" w:rsidRDefault="00F02A66" w:rsidP="00F02A66">
      <w:pPr>
        <w:numPr>
          <w:ilvl w:val="0"/>
          <w:numId w:val="8"/>
        </w:numPr>
        <w:spacing w:after="240" w:line="300" w:lineRule="auto"/>
        <w:ind w:hanging="283"/>
      </w:pPr>
      <w:r w:rsidRPr="00613E9C">
        <w:t xml:space="preserve">załącznik nr 2 - klauzula informacyjna. </w:t>
      </w:r>
    </w:p>
    <w:p w14:paraId="33CCFBFA" w14:textId="77777777" w:rsidR="00A32BC6" w:rsidRPr="00613E9C" w:rsidRDefault="00F02A66" w:rsidP="00F02A66">
      <w:pPr>
        <w:spacing w:after="240" w:line="300" w:lineRule="auto"/>
        <w:ind w:left="77" w:firstLine="0"/>
        <w:jc w:val="left"/>
      </w:pPr>
      <w:r w:rsidRPr="00613E9C">
        <w:t xml:space="preserve"> </w:t>
      </w:r>
    </w:p>
    <w:p w14:paraId="1D150DC1" w14:textId="77777777" w:rsidR="00301D0A" w:rsidRDefault="00F02A66" w:rsidP="00301D0A">
      <w:pPr>
        <w:spacing w:after="240" w:line="300" w:lineRule="auto"/>
        <w:ind w:left="77" w:firstLine="0"/>
        <w:jc w:val="left"/>
      </w:pPr>
      <w:r w:rsidRPr="00613E9C">
        <w:t xml:space="preserve"> </w:t>
      </w:r>
    </w:p>
    <w:p w14:paraId="04B4AADC" w14:textId="77777777" w:rsidR="00A8087D" w:rsidRDefault="00A8087D" w:rsidP="00301D0A">
      <w:pPr>
        <w:spacing w:after="240" w:line="300" w:lineRule="auto"/>
        <w:ind w:left="77" w:firstLine="0"/>
        <w:jc w:val="left"/>
      </w:pPr>
    </w:p>
    <w:p w14:paraId="2B6DD3DC" w14:textId="77777777" w:rsidR="00A8087D" w:rsidRDefault="00A8087D" w:rsidP="00301D0A">
      <w:pPr>
        <w:spacing w:after="240" w:line="300" w:lineRule="auto"/>
        <w:ind w:left="77" w:firstLine="0"/>
        <w:jc w:val="left"/>
      </w:pPr>
    </w:p>
    <w:p w14:paraId="405378B3" w14:textId="35551BB7" w:rsidR="00A32BC6" w:rsidRPr="00613E9C" w:rsidRDefault="00F02A66" w:rsidP="00301D0A">
      <w:pPr>
        <w:spacing w:after="240" w:line="300" w:lineRule="auto"/>
        <w:ind w:left="77" w:firstLine="0"/>
        <w:jc w:val="left"/>
      </w:pPr>
      <w:r w:rsidRPr="00613E9C">
        <w:lastRenderedPageBreak/>
        <w:t xml:space="preserve">Złącznik nr 2 do Umowy </w:t>
      </w:r>
    </w:p>
    <w:p w14:paraId="5D4A3821" w14:textId="77777777" w:rsidR="00A32BC6" w:rsidRPr="00613E9C" w:rsidRDefault="00F02A66" w:rsidP="00F02A66">
      <w:pPr>
        <w:spacing w:after="240" w:line="300" w:lineRule="auto"/>
        <w:ind w:left="77" w:firstLine="0"/>
        <w:jc w:val="left"/>
      </w:pPr>
      <w:r w:rsidRPr="00613E9C">
        <w:t xml:space="preserve">   </w:t>
      </w:r>
    </w:p>
    <w:p w14:paraId="0358204F" w14:textId="77777777" w:rsidR="00A32BC6" w:rsidRPr="00613E9C" w:rsidRDefault="00F02A66" w:rsidP="00F02A66">
      <w:pPr>
        <w:pStyle w:val="Nagwek1"/>
        <w:spacing w:after="240" w:line="300" w:lineRule="auto"/>
      </w:pPr>
      <w:r w:rsidRPr="00613E9C">
        <w:rPr>
          <w:b w:val="0"/>
          <w:u w:val="none"/>
        </w:rPr>
        <w:t xml:space="preserve">   </w:t>
      </w:r>
      <w:r w:rsidRPr="00613E9C">
        <w:t>Klauzula informacyjna dotycząca przetwarzania danych osobowych Sprzedającego</w:t>
      </w:r>
      <w:r w:rsidRPr="00613E9C">
        <w:rPr>
          <w:b w:val="0"/>
          <w:u w:val="none"/>
        </w:rPr>
        <w:t xml:space="preserve"> </w:t>
      </w:r>
    </w:p>
    <w:p w14:paraId="66DC33C4" w14:textId="77777777" w:rsidR="00A32BC6" w:rsidRPr="00613E9C" w:rsidRDefault="00F02A66" w:rsidP="00F02A66">
      <w:pPr>
        <w:spacing w:after="240" w:line="300" w:lineRule="auto"/>
        <w:ind w:left="72"/>
      </w:pPr>
      <w:r w:rsidRPr="00613E9C"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RODO, Dz. U. UE. L. z 2016 r. Nr 119) informujemy, że:  </w:t>
      </w:r>
    </w:p>
    <w:p w14:paraId="28BAC178" w14:textId="77777777" w:rsidR="00A32BC6" w:rsidRPr="00613E9C" w:rsidRDefault="00F02A66" w:rsidP="00F02A66">
      <w:pPr>
        <w:spacing w:after="240" w:line="300" w:lineRule="auto"/>
        <w:ind w:left="77" w:firstLine="0"/>
        <w:jc w:val="left"/>
      </w:pPr>
      <w:r w:rsidRPr="00613E9C">
        <w:t xml:space="preserve"> </w:t>
      </w:r>
    </w:p>
    <w:p w14:paraId="1F9CD537" w14:textId="1445EA5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Administratorem danych </w:t>
      </w:r>
      <w:r w:rsidR="00D63428" w:rsidRPr="00613E9C">
        <w:t>osobowych Sprzedającego</w:t>
      </w:r>
      <w:r w:rsidRPr="00613E9C">
        <w:t xml:space="preserve">, osób fizycznych reprezentujących Sprzedającego oraz osób fizycznych wskazanych do kontaktu, realizacji i wykonania przedmiotu Umowy jest Agencja Oceny Technologii Medycznych i Taryfikacji z siedzibą w Warszawie (00-032) przy ul. Przeskok 2. </w:t>
      </w:r>
    </w:p>
    <w:p w14:paraId="5EAC506E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Jeżeli Administrator nie uzyskał danych osobowych bezpośrednio od osób, o których mowa w ust. 1, informujemy, że dane osobowe zostały uzyskane od Sprzedającego. </w:t>
      </w:r>
    </w:p>
    <w:p w14:paraId="139687AC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>Administrator powołał Inspektora Ochrony Danych, z którym można się skontaktować pod adresem email -</w:t>
      </w:r>
      <w:hyperlink r:id="rId7">
        <w:r w:rsidRPr="00613E9C">
          <w:t xml:space="preserve"> </w:t>
        </w:r>
      </w:hyperlink>
      <w:hyperlink r:id="rId8">
        <w:r w:rsidRPr="00613E9C">
          <w:rPr>
            <w:u w:val="single" w:color="000000"/>
          </w:rPr>
          <w:t>iod@aotm.gov.pl</w:t>
        </w:r>
      </w:hyperlink>
      <w:hyperlink r:id="rId9">
        <w:r w:rsidRPr="00613E9C">
          <w:t>.</w:t>
        </w:r>
      </w:hyperlink>
      <w:r w:rsidRPr="00613E9C">
        <w:t xml:space="preserve">  </w:t>
      </w:r>
    </w:p>
    <w:p w14:paraId="10DF80B1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Dane osobowe osób, o których mowa w ust. 1, będą przetwarzane przez Administratora na podstawie art. 6 ust. 1 lit. b RODO, dokonanie wszelkich czynności składających się na proces zawarcia i realizacji Umowy. </w:t>
      </w:r>
    </w:p>
    <w:p w14:paraId="6958CA69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Dane obejmują kategorię danych identyfikacyjnych i kontaktowych. </w:t>
      </w:r>
    </w:p>
    <w:p w14:paraId="0E59FC42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Dane osobowe, o których mowa w ust. 1 mogą być przekazywane do organów publicznych i urzędów państwowych lub innych podmiotów upoważnionych na podstawie przepisów prawa lub wykonujących zadania realizowane w interesie publicznym lub w ramach sprawowania władzy publicznej. Dane osobowe mogą zostać udostępnione przez Agencję Oceny Technologii Medycznych i Taryfikacji, podmiotom, które obsługują systemy teleinformatyczne Administratora oraz udostępniające narzędzia teleinformatyczne lub świadczące usługi kurierskie czy hostingu.  </w:t>
      </w:r>
    </w:p>
    <w:p w14:paraId="2D2F28D9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W oparciu o dane osobowe osób, o których mowa w ust. 1, Administrator nie będzie podejmował zautomatyzowanych decyzji, w tym decyzji będących wynikiem profilowania w rozumieniu RODO.  </w:t>
      </w:r>
    </w:p>
    <w:p w14:paraId="053EE181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Dane osobowe osób, o których mowa w ust. 1, będą przetwarzane przez okres wykonania </w:t>
      </w:r>
    </w:p>
    <w:p w14:paraId="585DCF14" w14:textId="77777777" w:rsidR="00A32BC6" w:rsidRPr="00613E9C" w:rsidRDefault="00F02A66" w:rsidP="00F02A66">
      <w:pPr>
        <w:tabs>
          <w:tab w:val="center" w:pos="921"/>
          <w:tab w:val="center" w:pos="1930"/>
          <w:tab w:val="center" w:pos="2628"/>
          <w:tab w:val="center" w:pos="3534"/>
          <w:tab w:val="center" w:pos="4645"/>
          <w:tab w:val="center" w:pos="5632"/>
          <w:tab w:val="center" w:pos="6564"/>
          <w:tab w:val="center" w:pos="7802"/>
          <w:tab w:val="right" w:pos="9153"/>
        </w:tabs>
        <w:spacing w:after="240" w:line="300" w:lineRule="auto"/>
        <w:ind w:left="0" w:right="-8" w:firstLine="0"/>
        <w:jc w:val="left"/>
      </w:pPr>
      <w:r w:rsidRPr="00613E9C">
        <w:rPr>
          <w:rFonts w:eastAsia="Calibri"/>
        </w:rPr>
        <w:lastRenderedPageBreak/>
        <w:tab/>
      </w:r>
      <w:r w:rsidRPr="00613E9C">
        <w:t xml:space="preserve">Umowy, </w:t>
      </w:r>
      <w:r w:rsidRPr="00613E9C">
        <w:tab/>
        <w:t xml:space="preserve">chyba </w:t>
      </w:r>
      <w:r w:rsidRPr="00613E9C">
        <w:tab/>
        <w:t xml:space="preserve">że </w:t>
      </w:r>
      <w:r w:rsidRPr="00613E9C">
        <w:tab/>
        <w:t xml:space="preserve">niezbędny </w:t>
      </w:r>
      <w:r w:rsidRPr="00613E9C">
        <w:tab/>
        <w:t xml:space="preserve">będzie </w:t>
      </w:r>
      <w:r w:rsidRPr="00613E9C">
        <w:tab/>
        <w:t xml:space="preserve">dłuższy </w:t>
      </w:r>
      <w:r w:rsidRPr="00613E9C">
        <w:tab/>
        <w:t xml:space="preserve">okres </w:t>
      </w:r>
      <w:r w:rsidRPr="00613E9C">
        <w:tab/>
        <w:t xml:space="preserve">przetwarzania </w:t>
      </w:r>
      <w:r w:rsidRPr="00613E9C">
        <w:tab/>
        <w:t xml:space="preserve">np.:  </w:t>
      </w:r>
    </w:p>
    <w:p w14:paraId="21DE1B78" w14:textId="77777777" w:rsidR="00A32BC6" w:rsidRPr="00613E9C" w:rsidRDefault="00F02A66" w:rsidP="00F02A66">
      <w:pPr>
        <w:spacing w:after="240" w:line="300" w:lineRule="auto"/>
        <w:ind w:left="514"/>
      </w:pPr>
      <w:r w:rsidRPr="00613E9C">
        <w:t xml:space="preserve">z uwagi na obowiązki archiwizacyjne, przedawnienia roszczeń i wymogi określone w przepisach prawa. </w:t>
      </w:r>
    </w:p>
    <w:p w14:paraId="60D07EF8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Osobom, o których mowa w ust. 1 przysługuje prawo do żądania od Administratora dostępu do swoich danych osobowych, ich sprostowania, usunięcia lub ograniczenia przetwarzania, a także prawo do przenoszenia danych.  </w:t>
      </w:r>
    </w:p>
    <w:p w14:paraId="39A3C8A9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Osobom, o których mowa w ust. 1 przysługuje również prawo do wniesienia sprzeciwu.  </w:t>
      </w:r>
    </w:p>
    <w:p w14:paraId="5B55C9B1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Osobom, o których mowa w ust. 1 przysługuje prawo wniesienia skargi do organu nadzorczego, tj. Prezesa Urzędu Ochrony Danych Osobowych.  </w:t>
      </w:r>
    </w:p>
    <w:p w14:paraId="05278464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Podanie danych osobowych, o których mowa w ust. 1, jest wymagane do zawarcia Umowy. </w:t>
      </w:r>
    </w:p>
    <w:p w14:paraId="580E91D2" w14:textId="77777777" w:rsidR="00A32BC6" w:rsidRPr="00613E9C" w:rsidRDefault="00F02A66" w:rsidP="00F02A66">
      <w:pPr>
        <w:spacing w:after="240" w:line="300" w:lineRule="auto"/>
        <w:ind w:left="10" w:right="-8"/>
        <w:jc w:val="right"/>
      </w:pPr>
      <w:r w:rsidRPr="00613E9C">
        <w:t xml:space="preserve">Odmowa podania danych osobowych skutkuje niemożnością zawarcia i realizacji Umowy.  </w:t>
      </w:r>
    </w:p>
    <w:p w14:paraId="41FD068C" w14:textId="77777777" w:rsidR="00A32BC6" w:rsidRPr="00613E9C" w:rsidRDefault="00F02A66" w:rsidP="00F02A66">
      <w:pPr>
        <w:numPr>
          <w:ilvl w:val="0"/>
          <w:numId w:val="9"/>
        </w:numPr>
        <w:spacing w:after="240" w:line="300" w:lineRule="auto"/>
        <w:ind w:hanging="480"/>
      </w:pPr>
      <w:r w:rsidRPr="00613E9C">
        <w:t xml:space="preserve">Dane osób, o których mowa w ust. 1 nie będą przekazywane do państwa trzeciego/ organizacji międzynarodowej, o ile nie będą tego wymagały prawne obowiązki Administratora. </w:t>
      </w:r>
    </w:p>
    <w:sectPr w:rsidR="00A32BC6" w:rsidRPr="00613E9C" w:rsidSect="00613E9C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B634" w14:textId="77777777" w:rsidR="0008686E" w:rsidRDefault="0008686E">
      <w:pPr>
        <w:spacing w:after="0" w:line="240" w:lineRule="auto"/>
      </w:pPr>
      <w:r>
        <w:separator/>
      </w:r>
    </w:p>
  </w:endnote>
  <w:endnote w:type="continuationSeparator" w:id="0">
    <w:p w14:paraId="70B68555" w14:textId="77777777" w:rsidR="0008686E" w:rsidRDefault="0008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DC65" w14:textId="77777777" w:rsidR="00A32BC6" w:rsidRDefault="00F02A66">
    <w:pPr>
      <w:spacing w:after="0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8FFF02C" w14:textId="77777777" w:rsidR="00A32BC6" w:rsidRDefault="00F02A66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B881" w14:textId="77777777" w:rsidR="00A32BC6" w:rsidRDefault="00F02A66">
    <w:pPr>
      <w:spacing w:after="0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56FB03" w14:textId="77777777" w:rsidR="00A32BC6" w:rsidRDefault="00F02A66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2D43" w14:textId="77777777" w:rsidR="00A32BC6" w:rsidRDefault="00F02A66">
    <w:pPr>
      <w:spacing w:after="0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F81D90" w14:textId="77777777" w:rsidR="00A32BC6" w:rsidRDefault="00F02A66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1583" w14:textId="77777777" w:rsidR="0008686E" w:rsidRDefault="0008686E">
      <w:pPr>
        <w:spacing w:after="0" w:line="240" w:lineRule="auto"/>
      </w:pPr>
      <w:r>
        <w:separator/>
      </w:r>
    </w:p>
  </w:footnote>
  <w:footnote w:type="continuationSeparator" w:id="0">
    <w:p w14:paraId="52D1968C" w14:textId="77777777" w:rsidR="0008686E" w:rsidRDefault="0008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8D2"/>
    <w:multiLevelType w:val="hybridMultilevel"/>
    <w:tmpl w:val="5198B080"/>
    <w:lvl w:ilvl="0" w:tplc="A5683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8DE96">
      <w:start w:val="1"/>
      <w:numFmt w:val="decimal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C0C8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0E1D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E79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201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2B4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6AB7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895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B661B"/>
    <w:multiLevelType w:val="hybridMultilevel"/>
    <w:tmpl w:val="EBE8B30E"/>
    <w:lvl w:ilvl="0" w:tplc="B4E6723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0A4A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6408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8850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139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B72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C377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24A5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6AFA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34354"/>
    <w:multiLevelType w:val="hybridMultilevel"/>
    <w:tmpl w:val="7B2CD932"/>
    <w:lvl w:ilvl="0" w:tplc="047ED7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6EC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A4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6B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47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2B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4D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E4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E6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A24F22"/>
    <w:multiLevelType w:val="hybridMultilevel"/>
    <w:tmpl w:val="19680394"/>
    <w:lvl w:ilvl="0" w:tplc="BA04D83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7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43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49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432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3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6F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4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05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B7393A"/>
    <w:multiLevelType w:val="hybridMultilevel"/>
    <w:tmpl w:val="5A2CBDC2"/>
    <w:lvl w:ilvl="0" w:tplc="666EE4A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AEE98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2948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C2B9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0258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A64A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CEDD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61B6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E9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425B55"/>
    <w:multiLevelType w:val="hybridMultilevel"/>
    <w:tmpl w:val="4C828F44"/>
    <w:lvl w:ilvl="0" w:tplc="94D41FB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25360">
      <w:start w:val="1"/>
      <w:numFmt w:val="lowerLetter"/>
      <w:lvlText w:val="%2)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6962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2AC2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033B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AB9B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86EE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CCA7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211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B6997"/>
    <w:multiLevelType w:val="hybridMultilevel"/>
    <w:tmpl w:val="14E298D4"/>
    <w:lvl w:ilvl="0" w:tplc="94FE4236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2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02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C9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6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A9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2C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1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05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F09CA"/>
    <w:multiLevelType w:val="hybridMultilevel"/>
    <w:tmpl w:val="50C6476C"/>
    <w:lvl w:ilvl="0" w:tplc="83E802D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75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E7F3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8CFB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E16B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005C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6543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C5EC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2F8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182DB1"/>
    <w:multiLevelType w:val="hybridMultilevel"/>
    <w:tmpl w:val="3F949B8A"/>
    <w:lvl w:ilvl="0" w:tplc="A7C2428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0A8BC">
      <w:start w:val="1"/>
      <w:numFmt w:val="decimal"/>
      <w:lvlText w:val="%2)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9DA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092F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6BE7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AC88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6523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CF01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A4BB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826254">
    <w:abstractNumId w:val="4"/>
  </w:num>
  <w:num w:numId="2" w16cid:durableId="976763007">
    <w:abstractNumId w:val="5"/>
  </w:num>
  <w:num w:numId="3" w16cid:durableId="1284001247">
    <w:abstractNumId w:val="0"/>
  </w:num>
  <w:num w:numId="4" w16cid:durableId="1582527196">
    <w:abstractNumId w:val="8"/>
  </w:num>
  <w:num w:numId="5" w16cid:durableId="1769276991">
    <w:abstractNumId w:val="1"/>
  </w:num>
  <w:num w:numId="6" w16cid:durableId="1802455540">
    <w:abstractNumId w:val="2"/>
  </w:num>
  <w:num w:numId="7" w16cid:durableId="1496533849">
    <w:abstractNumId w:val="3"/>
  </w:num>
  <w:num w:numId="8" w16cid:durableId="648830029">
    <w:abstractNumId w:val="7"/>
  </w:num>
  <w:num w:numId="9" w16cid:durableId="1616669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C6"/>
    <w:rsid w:val="000372E4"/>
    <w:rsid w:val="00050F90"/>
    <w:rsid w:val="0008686E"/>
    <w:rsid w:val="001F749D"/>
    <w:rsid w:val="002A37D6"/>
    <w:rsid w:val="00301D0A"/>
    <w:rsid w:val="003640A5"/>
    <w:rsid w:val="003F7995"/>
    <w:rsid w:val="00596448"/>
    <w:rsid w:val="00613E9C"/>
    <w:rsid w:val="006401B6"/>
    <w:rsid w:val="00691973"/>
    <w:rsid w:val="006E0046"/>
    <w:rsid w:val="0071055D"/>
    <w:rsid w:val="0074256B"/>
    <w:rsid w:val="007F0588"/>
    <w:rsid w:val="008306D8"/>
    <w:rsid w:val="00996450"/>
    <w:rsid w:val="00A26068"/>
    <w:rsid w:val="00A32BC6"/>
    <w:rsid w:val="00A8087D"/>
    <w:rsid w:val="00CD744F"/>
    <w:rsid w:val="00CF5D02"/>
    <w:rsid w:val="00D63428"/>
    <w:rsid w:val="00EB030F"/>
    <w:rsid w:val="00F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BD8A"/>
  <w15:docId w15:val="{CFB689DE-DAAD-4F84-BEC0-5290E66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368" w:lineRule="auto"/>
      <w:ind w:left="8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5" w:line="259" w:lineRule="auto"/>
      <w:ind w:left="77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E9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0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06D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6D8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aotm.gov.pl/owa/redir.aspx?C=4pS7YV6Wve1H_VpEG2eV-ZPvfUCWFDt1Na-tVFjXx94yRZhPSQnZCA..&amp;URL=mailto%3aiod%40aotm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aotm.gov.pl/owa/redir.aspx?C=4pS7YV6Wve1H_VpEG2eV-ZPvfUCWFDt1Na-tVFjXx94yRZhPSQnZCA..&amp;URL=mailto%3aiod%40aotm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czta.aotm.gov.pl/owa/redir.aspx?C=4pS7YV6Wve1H_VpEG2eV-ZPvfUCWFDt1Na-tVFjXx94yRZhPSQnZCA..&amp;URL=mailto%3aiod%40aotm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Leszczyńska</dc:creator>
  <cp:keywords/>
  <cp:lastModifiedBy>Świś Cyprian (ZP)</cp:lastModifiedBy>
  <cp:revision>22</cp:revision>
  <dcterms:created xsi:type="dcterms:W3CDTF">2025-05-05T11:36:00Z</dcterms:created>
  <dcterms:modified xsi:type="dcterms:W3CDTF">2025-05-08T10:41:00Z</dcterms:modified>
</cp:coreProperties>
</file>